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Mr.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Sale is an Associate 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at Lee &amp; Associates - Newport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Beach, 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a full service commercial real estate company and member of the Lee &amp; Associates group of companies.  Kevitt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is focusing on office, retail, industrial and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medical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properties and business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es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in the Orange County area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. During his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years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of commercial real estate experience,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he has represented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numerous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landlords, buyers and tenants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,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culminating in over 5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00 leasing and sales transactions.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Kevitt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has been involved in all aspects of real estate tran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sactions from property/market analysis and site selection, 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to lease and purchase contract analysis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and negotiation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Kevitt has been a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licensed real estate salesperson in the State of California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since 1987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.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Kevitt specializes in 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Tenant/Landlord Representation &amp; Owner/User Sales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.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  <w:t xml:space="preserve">Each year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Kevitt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represents many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different companies and individuals, 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that buy, sell or lease space. Transactions range in size from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several hundred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square feet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to tens of thousands of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square feet and span all product types from Class A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B &amp;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C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office buildings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, retail project, industrial properties and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medical and health care related properties.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97131F"/>
                <w:sz w:val="30"/>
                <w:szCs w:val="30"/>
              </w:rPr>
            </w:pPr>
            <w:r w:rsidRPr="00141E5A">
              <w:rPr>
                <w:rFonts w:ascii="Tahoma" w:eastAsia="Times New Roman" w:hAnsi="Tahoma" w:cs="Tahoma"/>
                <w:color w:val="97131F"/>
                <w:sz w:val="30"/>
                <w:szCs w:val="30"/>
              </w:rPr>
              <w:t>Career History / Professional Recognition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Kevitt began his career in real estate at Grubb &amp; Ellis in north San Diego county and also spent several years with ACRE commercial real estate in the Sacramento region.  In addition to real estate, Kevitt spent 13 years as a General Manager for several private county clubs throughout California. Kevitt achieved the Top GM award from American Golf Country Clubs and was a “Top 10” producer for 4 years while with Grubb &amp; Ellis.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97131F"/>
                <w:sz w:val="30"/>
                <w:szCs w:val="30"/>
              </w:rPr>
            </w:pPr>
            <w:r w:rsidRPr="00141E5A">
              <w:rPr>
                <w:rFonts w:ascii="Tahoma" w:eastAsia="Times New Roman" w:hAnsi="Tahoma" w:cs="Tahoma"/>
                <w:color w:val="97131F"/>
                <w:sz w:val="30"/>
                <w:szCs w:val="30"/>
              </w:rPr>
              <w:t>Education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</w:rPr>
              <w:t>San Diego State University – Bachelor of Arts, Communications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</w:p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97131F"/>
                <w:sz w:val="30"/>
                <w:szCs w:val="30"/>
              </w:rPr>
            </w:pPr>
            <w:r w:rsidRPr="00141E5A">
              <w:rPr>
                <w:rFonts w:ascii="Tahoma" w:eastAsia="Times New Roman" w:hAnsi="Tahoma" w:cs="Tahoma"/>
                <w:color w:val="97131F"/>
                <w:sz w:val="30"/>
                <w:szCs w:val="30"/>
              </w:rPr>
              <w:t xml:space="preserve">Affiliations </w:t>
            </w:r>
          </w:p>
        </w:tc>
      </w:tr>
      <w:tr w:rsidR="00337397" w:rsidRPr="00141E5A" w:rsidTr="000845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7397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 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Kevitt</w:t>
            </w:r>
            <w:r w:rsidRPr="00141E5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is also a member of the AIR Commercial Real Estate Association</w:t>
            </w:r>
          </w:p>
          <w:p w:rsidR="00337397" w:rsidRPr="00141E5A" w:rsidRDefault="00337397" w:rsidP="0008457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 </w:t>
            </w:r>
          </w:p>
        </w:tc>
      </w:tr>
    </w:tbl>
    <w:p w:rsidR="00121D8E" w:rsidRDefault="00121D8E"/>
    <w:sectPr w:rsidR="00121D8E" w:rsidSect="0012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97"/>
    <w:rsid w:val="00121D8E"/>
    <w:rsid w:val="003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Kevitt Sale</dc:creator>
  <cp:keywords/>
  <dc:description/>
  <cp:lastModifiedBy>Kevitt Sale</cp:lastModifiedBy>
  <cp:revision>1</cp:revision>
  <dcterms:created xsi:type="dcterms:W3CDTF">2014-12-02T17:35:00Z</dcterms:created>
  <dcterms:modified xsi:type="dcterms:W3CDTF">2014-12-02T17:37:00Z</dcterms:modified>
</cp:coreProperties>
</file>